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E345" w14:textId="77777777" w:rsidR="00FE5172" w:rsidRPr="00FE5172" w:rsidRDefault="00FE5172" w:rsidP="00FE5172">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FE5172">
        <w:rPr>
          <w:rFonts w:ascii="Lato" w:eastAsia="Times New Roman" w:hAnsi="Lato" w:cs="Times New Roman"/>
          <w:color w:val="CC3300"/>
          <w:kern w:val="36"/>
          <w:sz w:val="36"/>
          <w:szCs w:val="36"/>
          <w:lang w:eastAsia="fr-BE"/>
          <w14:ligatures w14:val="none"/>
        </w:rPr>
        <w:t>Les primes évoluent peu compte tenu du ralentissement saisonnier</w:t>
      </w:r>
    </w:p>
    <w:p w14:paraId="336AAC2B" w14:textId="77777777" w:rsidR="00FE5172" w:rsidRDefault="00FE5172" w:rsidP="00FE5172">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538EB11C" w14:textId="373EC4F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b/>
          <w:bCs/>
          <w:color w:val="000000"/>
          <w:kern w:val="0"/>
          <w:sz w:val="23"/>
          <w:szCs w:val="23"/>
          <w:lang w:eastAsia="fr-BE"/>
          <w14:ligatures w14:val="none"/>
        </w:rPr>
        <w:t>Les échanges sont fortement ralentis sur le marché européen des métaux de base, où les opérateurs ont, pour la grande majorité, pris leur quartier d’été.</w:t>
      </w:r>
    </w:p>
    <w:p w14:paraId="242D533E"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br/>
      </w:r>
      <w:r w:rsidRPr="00FE5172">
        <w:rPr>
          <w:rFonts w:ascii="Lato" w:eastAsia="Times New Roman" w:hAnsi="Lato" w:cs="Times New Roman"/>
          <w:b/>
          <w:bCs/>
          <w:color w:val="A52A2A"/>
          <w:kern w:val="0"/>
          <w:sz w:val="23"/>
          <w:szCs w:val="23"/>
          <w:lang w:eastAsia="fr-BE"/>
          <w14:ligatures w14:val="none"/>
        </w:rPr>
        <w:t>Aluminium : un marché divisé</w:t>
      </w:r>
    </w:p>
    <w:p w14:paraId="79DF43B7"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t>Les acteurs du marché restent divisés sur l’orientation future des primes. De fait, les primes se négocient dans une fourchette étendue mais stable. En outre, l’activité est fortement ralentie en raison des congés estivaux. Une seule transaction aurait été nouée ces derniers jours, à 170 $/t. Les primes sur les </w:t>
      </w:r>
      <w:r w:rsidRPr="00FE5172">
        <w:rPr>
          <w:rFonts w:ascii="Lato" w:eastAsia="Times New Roman" w:hAnsi="Lato" w:cs="Times New Roman"/>
          <w:color w:val="000000"/>
          <w:kern w:val="0"/>
          <w:sz w:val="23"/>
          <w:szCs w:val="23"/>
          <w:u w:val="single"/>
          <w:lang w:eastAsia="fr-BE"/>
          <w14:ligatures w14:val="none"/>
        </w:rPr>
        <w:t>lingots d’aluminium P1020 dédouanés</w:t>
      </w:r>
      <w:r w:rsidRPr="00FE5172">
        <w:rPr>
          <w:rFonts w:ascii="Lato" w:eastAsia="Times New Roman" w:hAnsi="Lato" w:cs="Times New Roman"/>
          <w:color w:val="000000"/>
          <w:kern w:val="0"/>
          <w:sz w:val="23"/>
          <w:szCs w:val="23"/>
          <w:lang w:eastAsia="fr-BE"/>
          <w14:ligatures w14:val="none"/>
        </w:rPr>
        <w:t> au départ des entrepôts de Rotterdam ont renchéri de 5 $ à 170-205 $/t. D’un côté, certains arguent que la faiblesse de la demande et du </w:t>
      </w:r>
      <w:proofErr w:type="spellStart"/>
      <w:r w:rsidRPr="00FE5172">
        <w:rPr>
          <w:rFonts w:ascii="Lato" w:eastAsia="Times New Roman" w:hAnsi="Lato" w:cs="Times New Roman"/>
          <w:i/>
          <w:iCs/>
          <w:color w:val="000000"/>
          <w:kern w:val="0"/>
          <w:sz w:val="23"/>
          <w:szCs w:val="23"/>
          <w:lang w:eastAsia="fr-BE"/>
          <w14:ligatures w14:val="none"/>
        </w:rPr>
        <w:t>contango</w:t>
      </w:r>
      <w:proofErr w:type="spellEnd"/>
      <w:r w:rsidRPr="00FE5172">
        <w:rPr>
          <w:rFonts w:ascii="Lato" w:eastAsia="Times New Roman" w:hAnsi="Lato" w:cs="Times New Roman"/>
          <w:color w:val="000000"/>
          <w:kern w:val="0"/>
          <w:sz w:val="23"/>
          <w:szCs w:val="23"/>
          <w:lang w:eastAsia="fr-BE"/>
          <w14:ligatures w14:val="none"/>
        </w:rPr>
        <w:t>, à 0,78 $/t le 21 juillet, crée des conditions défavorables qui justifient que les primes soient scellées au rabais. Tandis que d’autres estiment que les tensions sur les disponibilités autorisent à demander des primes supérieures, à 200 $/t notamment. « </w:t>
      </w:r>
      <w:r w:rsidRPr="00FE5172">
        <w:rPr>
          <w:rFonts w:ascii="Lato" w:eastAsia="Times New Roman" w:hAnsi="Lato" w:cs="Times New Roman"/>
          <w:i/>
          <w:iCs/>
          <w:color w:val="000000"/>
          <w:kern w:val="0"/>
          <w:sz w:val="23"/>
          <w:szCs w:val="23"/>
          <w:lang w:eastAsia="fr-BE"/>
          <w14:ligatures w14:val="none"/>
        </w:rPr>
        <w:t>Le métal se fait plutôt rare dernièrement. Pour couvrir une position courte, vous n’avez d’autre choix que de vous acquitter d’une prime élevée</w:t>
      </w:r>
      <w:r w:rsidRPr="00FE5172">
        <w:rPr>
          <w:rFonts w:ascii="Lato" w:eastAsia="Times New Roman" w:hAnsi="Lato" w:cs="Times New Roman"/>
          <w:color w:val="000000"/>
          <w:kern w:val="0"/>
          <w:sz w:val="23"/>
          <w:szCs w:val="23"/>
          <w:lang w:eastAsia="fr-BE"/>
          <w14:ligatures w14:val="none"/>
        </w:rPr>
        <w:t> », estime un trader. Les divergences de point de vue reflètent le doute semé par deux transactions, l’une scellée à 165 $/t, et l’autre à 212,5 $/t.</w:t>
      </w:r>
    </w:p>
    <w:p w14:paraId="0535CDA7"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t>La fourchette des primes sur les </w:t>
      </w:r>
      <w:r w:rsidRPr="00FE5172">
        <w:rPr>
          <w:rFonts w:ascii="Lato" w:eastAsia="Times New Roman" w:hAnsi="Lato" w:cs="Times New Roman"/>
          <w:color w:val="000000"/>
          <w:kern w:val="0"/>
          <w:sz w:val="23"/>
          <w:szCs w:val="23"/>
          <w:u w:val="single"/>
          <w:lang w:eastAsia="fr-BE"/>
          <w14:ligatures w14:val="none"/>
        </w:rPr>
        <w:t>lingots P1020 non dédouanés</w:t>
      </w:r>
      <w:r w:rsidRPr="00FE5172">
        <w:rPr>
          <w:rFonts w:ascii="Lato" w:eastAsia="Times New Roman" w:hAnsi="Lato" w:cs="Times New Roman"/>
          <w:color w:val="000000"/>
          <w:kern w:val="0"/>
          <w:sz w:val="23"/>
          <w:szCs w:val="23"/>
          <w:lang w:eastAsia="fr-BE"/>
          <w14:ligatures w14:val="none"/>
        </w:rPr>
        <w:t xml:space="preserve"> s’est élargie à 120-145 $/t, contre 125-140 $/t la semaine précédente. Le 9 juillet dernier, elles s’établissaient à 130-150 $/t. Les expéditions d’aluminium en direction des magasins du LME du port de </w:t>
      </w:r>
      <w:proofErr w:type="spellStart"/>
      <w:r w:rsidRPr="00FE5172">
        <w:rPr>
          <w:rFonts w:ascii="Lato" w:eastAsia="Times New Roman" w:hAnsi="Lato" w:cs="Times New Roman"/>
          <w:color w:val="000000"/>
          <w:kern w:val="0"/>
          <w:sz w:val="23"/>
          <w:szCs w:val="23"/>
          <w:lang w:eastAsia="fr-BE"/>
          <w14:ligatures w14:val="none"/>
        </w:rPr>
        <w:t>Klang</w:t>
      </w:r>
      <w:proofErr w:type="spellEnd"/>
      <w:r w:rsidRPr="00FE5172">
        <w:rPr>
          <w:rFonts w:ascii="Lato" w:eastAsia="Times New Roman" w:hAnsi="Lato" w:cs="Times New Roman"/>
          <w:color w:val="000000"/>
          <w:kern w:val="0"/>
          <w:sz w:val="23"/>
          <w:szCs w:val="23"/>
          <w:lang w:eastAsia="fr-BE"/>
          <w14:ligatures w14:val="none"/>
        </w:rPr>
        <w:t>, en Malaisie, scrutées par les acteurs du marché, témoignent de la faiblesse de la demande asiatique, qui se traduit au niveau des primes régionales, lesquelles auraient atteint leur seuil plancher. Les expéditions ont totalisé près de 80.000 tonnes. Les magasins du LME sont le dernier recours pour les traders qui n’arrivent pas à écouler leurs tonnages chez les consommateurs. « </w:t>
      </w:r>
      <w:r w:rsidRPr="00FE5172">
        <w:rPr>
          <w:rFonts w:ascii="Lato" w:eastAsia="Times New Roman" w:hAnsi="Lato" w:cs="Times New Roman"/>
          <w:i/>
          <w:iCs/>
          <w:color w:val="000000"/>
          <w:kern w:val="0"/>
          <w:sz w:val="23"/>
          <w:szCs w:val="23"/>
          <w:lang w:eastAsia="fr-BE"/>
          <w14:ligatures w14:val="none"/>
        </w:rPr>
        <w:t>Les primes asiatiques auraient touché leur seuil plancher, ce qui signifie que la situation est possiblement identique pour les primes européennes </w:t>
      </w:r>
      <w:r w:rsidRPr="00FE5172">
        <w:rPr>
          <w:rFonts w:ascii="Lato" w:eastAsia="Times New Roman" w:hAnsi="Lato" w:cs="Times New Roman"/>
          <w:color w:val="000000"/>
          <w:kern w:val="0"/>
          <w:sz w:val="23"/>
          <w:szCs w:val="23"/>
          <w:lang w:eastAsia="fr-BE"/>
          <w14:ligatures w14:val="none"/>
        </w:rPr>
        <w:t>», suggère un deuxième trader.</w:t>
      </w:r>
    </w:p>
    <w:p w14:paraId="7C1F310B"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t>Dans le sud de l’Europe, les primes CFA Italie ont cédé 5 $ à la fourchette haute à 215-240 $/t. « </w:t>
      </w:r>
      <w:r w:rsidRPr="00FE5172">
        <w:rPr>
          <w:rFonts w:ascii="Lato" w:eastAsia="Times New Roman" w:hAnsi="Lato" w:cs="Times New Roman"/>
          <w:i/>
          <w:iCs/>
          <w:color w:val="000000"/>
          <w:kern w:val="0"/>
          <w:sz w:val="23"/>
          <w:szCs w:val="23"/>
          <w:lang w:eastAsia="fr-BE"/>
          <w14:ligatures w14:val="none"/>
        </w:rPr>
        <w:t>Nous recevons des demandes de dernière minute de consommateurs sur le point de partir en congés, il ne s’agit pas d’un signe d’amélioration de la demande </w:t>
      </w:r>
      <w:r w:rsidRPr="00FE5172">
        <w:rPr>
          <w:rFonts w:ascii="Lato" w:eastAsia="Times New Roman" w:hAnsi="Lato" w:cs="Times New Roman"/>
          <w:color w:val="000000"/>
          <w:kern w:val="0"/>
          <w:sz w:val="23"/>
          <w:szCs w:val="23"/>
          <w:lang w:eastAsia="fr-BE"/>
          <w14:ligatures w14:val="none"/>
        </w:rPr>
        <w:t>», estime un trader de la péninsule.</w:t>
      </w:r>
    </w:p>
    <w:p w14:paraId="53A967BC"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t> </w:t>
      </w:r>
    </w:p>
    <w:p w14:paraId="24FD7123"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b/>
          <w:bCs/>
          <w:color w:val="A52A2A"/>
          <w:kern w:val="0"/>
          <w:sz w:val="23"/>
          <w:szCs w:val="23"/>
          <w:lang w:eastAsia="fr-BE"/>
          <w14:ligatures w14:val="none"/>
        </w:rPr>
        <w:t>Zinc : stable en dépit de la légère hausse des liquidités</w:t>
      </w:r>
    </w:p>
    <w:p w14:paraId="29EA1D63"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t>Le marché a connu un léger regain de liquidités ces derniers jours. Malgré cela, les primes sur les </w:t>
      </w:r>
      <w:r w:rsidRPr="00FE5172">
        <w:rPr>
          <w:rFonts w:ascii="Lato" w:eastAsia="Times New Roman" w:hAnsi="Lato" w:cs="Times New Roman"/>
          <w:color w:val="000000"/>
          <w:kern w:val="0"/>
          <w:sz w:val="23"/>
          <w:szCs w:val="23"/>
          <w:u w:val="single"/>
          <w:lang w:eastAsia="fr-BE"/>
          <w14:ligatures w14:val="none"/>
        </w:rPr>
        <w:t>lingots de zinc SHG</w:t>
      </w:r>
      <w:r w:rsidRPr="00FE5172">
        <w:rPr>
          <w:rFonts w:ascii="Lato" w:eastAsia="Times New Roman" w:hAnsi="Lato" w:cs="Times New Roman"/>
          <w:color w:val="000000"/>
          <w:kern w:val="0"/>
          <w:sz w:val="23"/>
          <w:szCs w:val="23"/>
          <w:lang w:eastAsia="fr-BE"/>
          <w14:ligatures w14:val="none"/>
        </w:rPr>
        <w:t> FCA Anvers et Rotterdam demeurent stables, à 250-270 $/t. Des traders font état de contrats impliquant des volumes de zinc conséquents. Les tensions sur les disponibilités perdurent en raison de la baisse de la production sur le Vieux Continent. « </w:t>
      </w:r>
      <w:r w:rsidRPr="00FE5172">
        <w:rPr>
          <w:rFonts w:ascii="Lato" w:eastAsia="Times New Roman" w:hAnsi="Lato" w:cs="Times New Roman"/>
          <w:i/>
          <w:iCs/>
          <w:color w:val="000000"/>
          <w:kern w:val="0"/>
          <w:sz w:val="23"/>
          <w:szCs w:val="23"/>
          <w:lang w:eastAsia="fr-BE"/>
          <w14:ligatures w14:val="none"/>
        </w:rPr>
        <w:t>De nombreuses transactions ont été nouées en dépit des tensions sur l’offre </w:t>
      </w:r>
      <w:r w:rsidRPr="00FE5172">
        <w:rPr>
          <w:rFonts w:ascii="Lato" w:eastAsia="Times New Roman" w:hAnsi="Lato" w:cs="Times New Roman"/>
          <w:color w:val="000000"/>
          <w:kern w:val="0"/>
          <w:sz w:val="23"/>
          <w:szCs w:val="23"/>
          <w:lang w:eastAsia="fr-BE"/>
          <w14:ligatures w14:val="none"/>
        </w:rPr>
        <w:t>», indique un trader. Quant à la relance de la production, ce dernier ne voit pas d’amélioration avant la fin du troisième trimestre ou le début du quatrième.</w:t>
      </w:r>
    </w:p>
    <w:p w14:paraId="1576385B"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br/>
      </w:r>
      <w:r w:rsidRPr="00FE5172">
        <w:rPr>
          <w:rFonts w:ascii="Lato" w:eastAsia="Times New Roman" w:hAnsi="Lato" w:cs="Times New Roman"/>
          <w:b/>
          <w:bCs/>
          <w:color w:val="A52A2A"/>
          <w:kern w:val="0"/>
          <w:sz w:val="23"/>
          <w:szCs w:val="23"/>
          <w:lang w:eastAsia="fr-BE"/>
          <w14:ligatures w14:val="none"/>
        </w:rPr>
        <w:t>Nickel : stable également</w:t>
      </w:r>
    </w:p>
    <w:p w14:paraId="735CC948" w14:textId="77777777" w:rsidR="00FE5172" w:rsidRPr="00FE5172" w:rsidRDefault="00FE5172" w:rsidP="00FE517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E5172">
        <w:rPr>
          <w:rFonts w:ascii="Lato" w:eastAsia="Times New Roman" w:hAnsi="Lato" w:cs="Times New Roman"/>
          <w:color w:val="000000"/>
          <w:kern w:val="0"/>
          <w:sz w:val="23"/>
          <w:szCs w:val="23"/>
          <w:lang w:eastAsia="fr-BE"/>
          <w14:ligatures w14:val="none"/>
        </w:rPr>
        <w:t>Les primes sur les </w:t>
      </w:r>
      <w:r w:rsidRPr="00FE5172">
        <w:rPr>
          <w:rFonts w:ascii="Lato" w:eastAsia="Times New Roman" w:hAnsi="Lato" w:cs="Times New Roman"/>
          <w:color w:val="000000"/>
          <w:kern w:val="0"/>
          <w:sz w:val="23"/>
          <w:szCs w:val="23"/>
          <w:u w:val="single"/>
          <w:lang w:eastAsia="fr-BE"/>
          <w14:ligatures w14:val="none"/>
        </w:rPr>
        <w:t>cathodes entières</w:t>
      </w:r>
      <w:r w:rsidRPr="00FE5172">
        <w:rPr>
          <w:rFonts w:ascii="Lato" w:eastAsia="Times New Roman" w:hAnsi="Lato" w:cs="Times New Roman"/>
          <w:color w:val="000000"/>
          <w:kern w:val="0"/>
          <w:sz w:val="23"/>
          <w:szCs w:val="23"/>
          <w:lang w:eastAsia="fr-BE"/>
          <w14:ligatures w14:val="none"/>
        </w:rPr>
        <w:t> sont inchangées à 175-280 $/t, au départ des entrepôts de Rotterdam. Des niveaux inférieurs seraient toutefois atteignables. « </w:t>
      </w:r>
      <w:r w:rsidRPr="00FE5172">
        <w:rPr>
          <w:rFonts w:ascii="Lato" w:eastAsia="Times New Roman" w:hAnsi="Lato" w:cs="Times New Roman"/>
          <w:i/>
          <w:iCs/>
          <w:color w:val="000000"/>
          <w:kern w:val="0"/>
          <w:sz w:val="23"/>
          <w:szCs w:val="23"/>
          <w:lang w:eastAsia="fr-BE"/>
          <w14:ligatures w14:val="none"/>
        </w:rPr>
        <w:t xml:space="preserve">Les primes </w:t>
      </w:r>
      <w:r w:rsidRPr="00FE5172">
        <w:rPr>
          <w:rFonts w:ascii="Lato" w:eastAsia="Times New Roman" w:hAnsi="Lato" w:cs="Times New Roman"/>
          <w:i/>
          <w:iCs/>
          <w:color w:val="000000"/>
          <w:kern w:val="0"/>
          <w:sz w:val="23"/>
          <w:szCs w:val="23"/>
          <w:lang w:eastAsia="fr-BE"/>
          <w14:ligatures w14:val="none"/>
        </w:rPr>
        <w:lastRenderedPageBreak/>
        <w:t>ont fléchi dernièrement, mais elles demeurent néanmoins trop élevées</w:t>
      </w:r>
      <w:r w:rsidRPr="00FE5172">
        <w:rPr>
          <w:rFonts w:ascii="Lato" w:eastAsia="Times New Roman" w:hAnsi="Lato" w:cs="Times New Roman"/>
          <w:color w:val="000000"/>
          <w:kern w:val="0"/>
          <w:sz w:val="23"/>
          <w:szCs w:val="23"/>
          <w:lang w:eastAsia="fr-BE"/>
          <w14:ligatures w14:val="none"/>
        </w:rPr>
        <w:t>, estime un trader. </w:t>
      </w:r>
      <w:r w:rsidRPr="00FE5172">
        <w:rPr>
          <w:rFonts w:ascii="Lato" w:eastAsia="Times New Roman" w:hAnsi="Lato" w:cs="Times New Roman"/>
          <w:i/>
          <w:iCs/>
          <w:color w:val="000000"/>
          <w:kern w:val="0"/>
          <w:sz w:val="23"/>
          <w:szCs w:val="23"/>
          <w:lang w:eastAsia="fr-BE"/>
          <w14:ligatures w14:val="none"/>
        </w:rPr>
        <w:t>La demande est très faible et elle va continuer à se contracter durant l’été. </w:t>
      </w:r>
      <w:r w:rsidRPr="00FE5172">
        <w:rPr>
          <w:rFonts w:ascii="Lato" w:eastAsia="Times New Roman" w:hAnsi="Lato" w:cs="Times New Roman"/>
          <w:color w:val="000000"/>
          <w:kern w:val="0"/>
          <w:sz w:val="23"/>
          <w:szCs w:val="23"/>
          <w:lang w:eastAsia="fr-BE"/>
          <w14:ligatures w14:val="none"/>
        </w:rPr>
        <w:t>» Les magasins du LME à Rotterdam abritent actuellement quelque 27 125 tonnes de cathodes entières. Les primes sur les </w:t>
      </w:r>
      <w:r w:rsidRPr="00FE5172">
        <w:rPr>
          <w:rFonts w:ascii="Lato" w:eastAsia="Times New Roman" w:hAnsi="Lato" w:cs="Times New Roman"/>
          <w:color w:val="000000"/>
          <w:kern w:val="0"/>
          <w:sz w:val="23"/>
          <w:szCs w:val="23"/>
          <w:u w:val="single"/>
          <w:lang w:eastAsia="fr-BE"/>
          <w14:ligatures w14:val="none"/>
        </w:rPr>
        <w:t>cathodes coupées</w:t>
      </w:r>
      <w:r w:rsidRPr="00FE5172">
        <w:rPr>
          <w:rFonts w:ascii="Lato" w:eastAsia="Times New Roman" w:hAnsi="Lato" w:cs="Times New Roman"/>
          <w:color w:val="000000"/>
          <w:kern w:val="0"/>
          <w:sz w:val="23"/>
          <w:szCs w:val="23"/>
          <w:lang w:eastAsia="fr-BE"/>
          <w14:ligatures w14:val="none"/>
        </w:rPr>
        <w:t> sont inchangées à 300-450 $/t. Un regain de liquidités a été enregistré fin juin et début juillet, mais depuis son volume s’est contracté, sous l’effet du ralentissement estival de l’activité. Les primes sur les </w:t>
      </w:r>
      <w:r w:rsidRPr="00FE5172">
        <w:rPr>
          <w:rFonts w:ascii="Lato" w:eastAsia="Times New Roman" w:hAnsi="Lato" w:cs="Times New Roman"/>
          <w:color w:val="000000"/>
          <w:kern w:val="0"/>
          <w:sz w:val="23"/>
          <w:szCs w:val="23"/>
          <w:u w:val="single"/>
          <w:lang w:eastAsia="fr-BE"/>
          <w14:ligatures w14:val="none"/>
        </w:rPr>
        <w:t>briquettes</w:t>
      </w:r>
      <w:r w:rsidRPr="00FE5172">
        <w:rPr>
          <w:rFonts w:ascii="Lato" w:eastAsia="Times New Roman" w:hAnsi="Lato" w:cs="Times New Roman"/>
          <w:color w:val="000000"/>
          <w:kern w:val="0"/>
          <w:sz w:val="23"/>
          <w:szCs w:val="23"/>
          <w:lang w:eastAsia="fr-BE"/>
          <w14:ligatures w14:val="none"/>
        </w:rPr>
        <w:t> sont étales à 420-550 $/t. Certains entrevoient la possibilité de négocier des primes au rabais.</w:t>
      </w:r>
    </w:p>
    <w:p w14:paraId="2BF7D846"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72"/>
    <w:rsid w:val="00287462"/>
    <w:rsid w:val="002B7AEC"/>
    <w:rsid w:val="00FE51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7257"/>
  <w15:chartTrackingRefBased/>
  <w15:docId w15:val="{5920BDCB-B94F-44C7-8316-96B1D2BB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5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5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51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51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51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51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51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51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51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51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51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51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51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51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51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51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51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5172"/>
    <w:rPr>
      <w:rFonts w:eastAsiaTheme="majorEastAsia" w:cstheme="majorBidi"/>
      <w:color w:val="272727" w:themeColor="text1" w:themeTint="D8"/>
    </w:rPr>
  </w:style>
  <w:style w:type="paragraph" w:styleId="Titre">
    <w:name w:val="Title"/>
    <w:basedOn w:val="Normal"/>
    <w:next w:val="Normal"/>
    <w:link w:val="TitreCar"/>
    <w:uiPriority w:val="10"/>
    <w:qFormat/>
    <w:rsid w:val="00FE5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51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51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51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5172"/>
    <w:pPr>
      <w:spacing w:before="160"/>
      <w:jc w:val="center"/>
    </w:pPr>
    <w:rPr>
      <w:i/>
      <w:iCs/>
      <w:color w:val="404040" w:themeColor="text1" w:themeTint="BF"/>
    </w:rPr>
  </w:style>
  <w:style w:type="character" w:customStyle="1" w:styleId="CitationCar">
    <w:name w:val="Citation Car"/>
    <w:basedOn w:val="Policepardfaut"/>
    <w:link w:val="Citation"/>
    <w:uiPriority w:val="29"/>
    <w:rsid w:val="00FE5172"/>
    <w:rPr>
      <w:i/>
      <w:iCs/>
      <w:color w:val="404040" w:themeColor="text1" w:themeTint="BF"/>
    </w:rPr>
  </w:style>
  <w:style w:type="paragraph" w:styleId="Paragraphedeliste">
    <w:name w:val="List Paragraph"/>
    <w:basedOn w:val="Normal"/>
    <w:uiPriority w:val="34"/>
    <w:qFormat/>
    <w:rsid w:val="00FE5172"/>
    <w:pPr>
      <w:ind w:left="720"/>
      <w:contextualSpacing/>
    </w:pPr>
  </w:style>
  <w:style w:type="character" w:styleId="Accentuationintense">
    <w:name w:val="Intense Emphasis"/>
    <w:basedOn w:val="Policepardfaut"/>
    <w:uiPriority w:val="21"/>
    <w:qFormat/>
    <w:rsid w:val="00FE5172"/>
    <w:rPr>
      <w:i/>
      <w:iCs/>
      <w:color w:val="0F4761" w:themeColor="accent1" w:themeShade="BF"/>
    </w:rPr>
  </w:style>
  <w:style w:type="paragraph" w:styleId="Citationintense">
    <w:name w:val="Intense Quote"/>
    <w:basedOn w:val="Normal"/>
    <w:next w:val="Normal"/>
    <w:link w:val="CitationintenseCar"/>
    <w:uiPriority w:val="30"/>
    <w:qFormat/>
    <w:rsid w:val="00FE5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5172"/>
    <w:rPr>
      <w:i/>
      <w:iCs/>
      <w:color w:val="0F4761" w:themeColor="accent1" w:themeShade="BF"/>
    </w:rPr>
  </w:style>
  <w:style w:type="character" w:styleId="Rfrenceintense">
    <w:name w:val="Intense Reference"/>
    <w:basedOn w:val="Policepardfaut"/>
    <w:uiPriority w:val="32"/>
    <w:qFormat/>
    <w:rsid w:val="00FE51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3300</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2025-07-22T04:56:00Z</dcterms:created>
  <dcterms:modified xsi:type="dcterms:W3CDTF">2025-07-22T04:56:00Z</dcterms:modified>
</cp:coreProperties>
</file>